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54A4" w14:textId="77777777" w:rsidR="009324AE" w:rsidRDefault="009324AE" w:rsidP="009324AE">
      <w:pPr>
        <w:rPr>
          <w:rFonts w:hint="eastAsia"/>
        </w:rPr>
      </w:pPr>
      <w:r>
        <w:rPr>
          <w:rFonts w:hint="eastAsia"/>
        </w:rPr>
        <w:t>中間製品の取扱い（交差汚染・二次汚染の防止）</w:t>
      </w:r>
    </w:p>
    <w:p w14:paraId="027C1346" w14:textId="3E7F9B31" w:rsidR="009324AE" w:rsidRDefault="009324AE" w:rsidP="00016F66">
      <w:pPr>
        <w:ind w:leftChars="100" w:left="220" w:firstLineChars="100" w:firstLine="220"/>
        <w:rPr>
          <w:rFonts w:hint="eastAsia"/>
        </w:rPr>
      </w:pPr>
      <w:r>
        <w:rPr>
          <w:rFonts w:hint="eastAsia"/>
        </w:rPr>
        <w:t>殺菌後の製品と殺菌前の半製品が混ざることの無いように注意が必要です。また、異物を除去した製品に、改めて異物が混入することの無いように注意が必要です。</w:t>
      </w:r>
    </w:p>
    <w:p w14:paraId="6CFC1222" w14:textId="77777777" w:rsidR="009324AE" w:rsidRDefault="009324AE" w:rsidP="00016F66">
      <w:pPr>
        <w:ind w:firstLineChars="100" w:firstLine="220"/>
        <w:rPr>
          <w:rFonts w:hint="eastAsia"/>
        </w:rPr>
      </w:pPr>
      <w:r>
        <w:rPr>
          <w:rFonts w:hint="eastAsia"/>
        </w:rPr>
        <w:t>a.確認のポイント</w:t>
      </w:r>
    </w:p>
    <w:p w14:paraId="3853D774" w14:textId="1E5546DD" w:rsidR="009324AE" w:rsidRDefault="009324AE" w:rsidP="00016F66">
      <w:pPr>
        <w:ind w:leftChars="100" w:left="440" w:hangingChars="100" w:hanging="220"/>
        <w:rPr>
          <w:rFonts w:hint="eastAsia"/>
        </w:rPr>
      </w:pPr>
      <w:r>
        <w:rPr>
          <w:rFonts w:hAnsi="ＭＳ 明朝" w:cs="ＭＳ 明朝" w:hint="eastAsia"/>
        </w:rPr>
        <w:t>✓</w:t>
      </w:r>
      <w:r w:rsidR="00016F66">
        <w:rPr>
          <w:rFonts w:hAnsi="ＭＳ 明朝" w:cs="ＭＳ 明朝" w:hint="eastAsia"/>
        </w:rPr>
        <w:t xml:space="preserve">　</w:t>
      </w:r>
      <w:r>
        <w:rPr>
          <w:rFonts w:hint="eastAsia"/>
        </w:rPr>
        <w:t>火入・除菌後の製品と生揚げなど半製品で、配管・容器・輸送機器を兼用している場合、先に火入・除菌後の製品に使用します。</w:t>
      </w:r>
    </w:p>
    <w:p w14:paraId="78D2601F" w14:textId="7D24B107" w:rsidR="009324AE" w:rsidRDefault="009324AE" w:rsidP="00016F66">
      <w:pPr>
        <w:ind w:leftChars="100" w:left="440" w:hangingChars="100" w:hanging="220"/>
        <w:rPr>
          <w:rFonts w:hint="eastAsia"/>
        </w:rPr>
      </w:pPr>
      <w:r>
        <w:rPr>
          <w:rFonts w:hAnsi="ＭＳ 明朝" w:cs="ＭＳ 明朝" w:hint="eastAsia"/>
        </w:rPr>
        <w:t>✓</w:t>
      </w:r>
      <w:r w:rsidR="00016F66">
        <w:rPr>
          <w:rFonts w:hAnsi="ＭＳ 明朝" w:cs="ＭＳ 明朝" w:hint="eastAsia"/>
        </w:rPr>
        <w:t xml:space="preserve">　</w:t>
      </w:r>
      <w:r>
        <w:rPr>
          <w:rFonts w:hint="eastAsia"/>
        </w:rPr>
        <w:t>生揚げなどの半製品への使用後に、火入・除菌前の製品、及び製品に使用する場合は、洗剤や殺菌剤を用いて、十分な洗浄をおこなった後に使用します。</w:t>
      </w:r>
    </w:p>
    <w:p w14:paraId="70E9F4A2" w14:textId="2D797445" w:rsidR="009324AE" w:rsidRDefault="009324AE" w:rsidP="00016F66">
      <w:pPr>
        <w:ind w:leftChars="100" w:left="440" w:hangingChars="100" w:hanging="220"/>
        <w:rPr>
          <w:rFonts w:hint="eastAsia"/>
        </w:rPr>
      </w:pPr>
      <w:r>
        <w:rPr>
          <w:rFonts w:hAnsi="ＭＳ 明朝" w:cs="ＭＳ 明朝" w:hint="eastAsia"/>
        </w:rPr>
        <w:t>✓</w:t>
      </w:r>
      <w:r w:rsidR="00016F66">
        <w:rPr>
          <w:rFonts w:hAnsi="ＭＳ 明朝" w:cs="ＭＳ 明朝" w:hint="eastAsia"/>
        </w:rPr>
        <w:t xml:space="preserve">　</w:t>
      </w:r>
      <w:r>
        <w:rPr>
          <w:rFonts w:hint="eastAsia"/>
        </w:rPr>
        <w:t>充填ろ過後、打栓までの工程間で異物が混入しないよう、ライン上部に覆いをする、あるいは充填工程を行う場所を区画する等、再度異物が混入することがない構造になっています。</w:t>
      </w:r>
    </w:p>
    <w:p w14:paraId="5A5ADE51" w14:textId="77777777" w:rsidR="009324AE" w:rsidRDefault="009324AE" w:rsidP="00016F66">
      <w:pPr>
        <w:ind w:firstLineChars="100" w:firstLine="220"/>
        <w:rPr>
          <w:rFonts w:hint="eastAsia"/>
        </w:rPr>
      </w:pPr>
      <w:r>
        <w:rPr>
          <w:rFonts w:hint="eastAsia"/>
        </w:rPr>
        <w:t>b.対応のポイント</w:t>
      </w:r>
    </w:p>
    <w:p w14:paraId="6B0F9FD1" w14:textId="4F4333E0" w:rsidR="009324AE" w:rsidRDefault="009324AE" w:rsidP="00016F66">
      <w:pPr>
        <w:ind w:firstLineChars="100" w:firstLine="220"/>
      </w:pPr>
      <w:r>
        <w:rPr>
          <w:rFonts w:hAnsi="ＭＳ 明朝" w:cs="ＭＳ 明朝" w:hint="eastAsia"/>
        </w:rPr>
        <w:t>✓</w:t>
      </w:r>
      <w:r w:rsidR="00016F66">
        <w:rPr>
          <w:rFonts w:hAnsi="ＭＳ 明朝" w:cs="ＭＳ 明朝" w:hint="eastAsia"/>
        </w:rPr>
        <w:t xml:space="preserve">　</w:t>
      </w:r>
      <w:r>
        <w:rPr>
          <w:rFonts w:hint="eastAsia"/>
        </w:rPr>
        <w:t>何らかの問題があったときは、決めた方法に従い、対応します。</w:t>
      </w:r>
    </w:p>
    <w:p w14:paraId="48386551" w14:textId="43E4DDA9" w:rsidR="005A61A9" w:rsidRDefault="009324AE" w:rsidP="00016F66">
      <w:pPr>
        <w:ind w:firstLineChars="100" w:firstLine="220"/>
      </w:pPr>
      <w:r>
        <w:rPr>
          <w:rFonts w:hAnsi="ＭＳ 明朝" w:cs="ＭＳ 明朝" w:hint="eastAsia"/>
        </w:rPr>
        <w:t>✓</w:t>
      </w:r>
      <w:r w:rsidR="00016F66">
        <w:rPr>
          <w:rFonts w:hAnsi="ＭＳ 明朝" w:cs="ＭＳ 明朝" w:hint="eastAsia"/>
        </w:rPr>
        <w:t xml:space="preserve">　</w:t>
      </w:r>
      <w:r>
        <w:rPr>
          <w:rFonts w:hint="eastAsia"/>
        </w:rPr>
        <w:t>これらを日誌に記録します。</w:t>
      </w:r>
    </w:p>
    <w:sectPr w:rsidR="005A61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AE"/>
    <w:rsid w:val="00016F66"/>
    <w:rsid w:val="005A61A9"/>
    <w:rsid w:val="009324AE"/>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DE8BA"/>
  <w15:chartTrackingRefBased/>
  <w15:docId w15:val="{FFFD5396-B8C5-4A25-9A9A-E18937EA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2022-02-03T02:07:00Z</dcterms:created>
  <dcterms:modified xsi:type="dcterms:W3CDTF">2022-02-03T02:09:00Z</dcterms:modified>
</cp:coreProperties>
</file>